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8C4A32"/>
          <w:sz w:val="19"/>
        </w:rPr>
        <w:t>MODIFIABLE REQUEST FOR PROPOSALS (RFP) TEMPLATE  |  VNA-RFP-011</w:t>
      </w:r>
    </w:p>
    <w:p>
      <w:pPr>
        <w:pStyle w:val="Heading1"/>
      </w:pPr>
      <w:r>
        <w:rPr>
          <w:color w:val="262421"/>
        </w:rPr>
        <w:t>Request for Proposals (RFP): Microsoft SQL Server, SSIS &amp; SSRS Migration to Oracle Autonomous Database 23ai &amp; OCI</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8C4A32"/>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2B2927"/>
          </w:tcPr>
          <w:p>
            <w:r>
              <w:rPr>
                <w:b/>
                <w:color w:val="FFFFFF"/>
                <w:sz w:val="19"/>
              </w:rPr>
              <w:t>Procurement Milestone / Field</w:t>
            </w:r>
          </w:p>
        </w:tc>
        <w:tc>
          <w:tcPr>
            <w:tcW w:type="dxa" w:w="5040"/>
            <w:shd w:val="clear" w:color="auto" w:fill="2B2927"/>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VNA-RFP-011 (Companion to Solution Brief VNA-SB-011)</w:t>
            </w:r>
          </w:p>
        </w:tc>
      </w:tr>
      <w:tr>
        <w:tc>
          <w:tcPr>
            <w:tcW w:type="dxa" w:w="5040"/>
          </w:tcPr>
          <w:p>
            <w:r>
              <w:rPr>
                <w:b/>
              </w:rPr>
              <w:t>RFP Issue Date</w:t>
            </w:r>
          </w:p>
        </w:tc>
        <w:tc>
          <w:tcPr>
            <w:tcW w:type="dxa" w:w="5040"/>
          </w:tcPr>
          <w:p>
            <w:r>
              <w:t>[2026-10-27]</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Microsoft SQL Server (2008 R2 - 2022), T-SQL, SSIS &amp; SSRS environment to Oracle Database 23ai / Autonomous Database on OCI (or SQL Server on OCI).</w:t>
      </w:r>
    </w:p>
    <w:p>
      <w:pPr>
        <w:pStyle w:val="ListBullet"/>
      </w:pPr>
      <w:r>
        <w:t>SQL Server Enterprise Edition per-core licensing combined with Windows Server Datacenter and Software Assurance renewals makes running sprawling 4-to-16 core SQL Server VMs prohibitively expensive.</w:t>
      </w:r>
    </w:p>
    <w:p>
      <w:pPr>
        <w:pStyle w:val="ListBullet"/>
      </w:pPr>
      <w:r>
        <w:t>Hundreds of undocumented SQL Server Integration Services (`.dtsx` SSIS) packages and SQL Server Reporting Services (`.rdl` SSRS) reports keep legacy servers alive years past End-of-Support.</w:t>
      </w:r>
    </w:p>
    <w:p>
      <w:pPr>
        <w:pStyle w:val="ListBullet"/>
      </w:pPr>
      <w:r>
        <w:t>Running SQL Server on generic AWS or Azure VMs hits storage IOPS throttling limits unless you provision oversized compute shapes.</w:t>
      </w:r>
    </w:p>
    <w:p>
      <w:pPr>
        <w:pStyle w:val="Heading2"/>
      </w:pPr>
      <w:r>
        <w:rPr>
          <w:color w:val="8C4A32"/>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8C4A32"/>
          </w:tcPr>
          <w:p>
            <w:r>
              <w:rPr>
                <w:b/>
                <w:color w:val="FFFFFF"/>
                <w:sz w:val="19"/>
              </w:rPr>
              <w:t>Inventory Dimension</w:t>
            </w:r>
          </w:p>
        </w:tc>
        <w:tc>
          <w:tcPr>
            <w:tcW w:type="dxa" w:w="3360"/>
            <w:shd w:val="clear" w:color="auto" w:fill="8C4A32"/>
          </w:tcPr>
          <w:p>
            <w:r>
              <w:rPr>
                <w:b/>
                <w:color w:val="FFFFFF"/>
                <w:sz w:val="19"/>
              </w:rPr>
              <w:t>Current Baseline Footprint (Editable)</w:t>
            </w:r>
          </w:p>
        </w:tc>
        <w:tc>
          <w:tcPr>
            <w:tcW w:type="dxa" w:w="3360"/>
            <w:shd w:val="clear" w:color="auto" w:fill="8C4A32"/>
          </w:tcPr>
          <w:p>
            <w:r>
              <w:rPr>
                <w:b/>
                <w:color w:val="FFFFFF"/>
                <w:sz w:val="19"/>
              </w:rPr>
              <w:t>Target Modernization SLA / Objective</w:t>
            </w:r>
          </w:p>
        </w:tc>
      </w:tr>
      <w:tr>
        <w:tc>
          <w:tcPr>
            <w:tcW w:type="dxa" w:w="3360"/>
          </w:tcPr>
          <w:p>
            <w:r>
              <w:rPr>
                <w:b/>
              </w:rPr>
              <w:t>Legacy Source Stack (Stack X)</w:t>
            </w:r>
          </w:p>
        </w:tc>
        <w:tc>
          <w:tcPr>
            <w:tcW w:type="dxa" w:w="3360"/>
          </w:tcPr>
          <w:p>
            <w:r>
              <w:t>Microsoft SQL Server (2008 R2 - 2022), T-SQL, SSIS &amp; SSRS</w:t>
            </w:r>
          </w:p>
        </w:tc>
        <w:tc>
          <w:tcPr>
            <w:tcW w:type="dxa" w:w="3360"/>
          </w:tcPr>
          <w:p>
            <w:r>
              <w:t>Full retirement / modernization</w:t>
            </w:r>
          </w:p>
        </w:tc>
      </w:tr>
      <w:tr>
        <w:tc>
          <w:tcPr>
            <w:tcW w:type="dxa" w:w="3360"/>
          </w:tcPr>
          <w:p>
            <w:r>
              <w:rPr>
                <w:b/>
              </w:rPr>
              <w:t>Target Architecture (Stack Y)</w:t>
            </w:r>
          </w:p>
        </w:tc>
        <w:tc>
          <w:tcPr>
            <w:tcW w:type="dxa" w:w="3360"/>
          </w:tcPr>
          <w:p>
            <w:r>
              <w:t>Oracle Database 23ai / Autonomous Database on OCI (or SQL Server on OCI)</w:t>
            </w:r>
          </w:p>
        </w:tc>
        <w:tc>
          <w:tcPr>
            <w:tcW w:type="dxa" w:w="3360"/>
          </w:tcPr>
          <w:p>
            <w:r>
              <w:t>Production HA/DR &amp; security governance</w:t>
            </w:r>
          </w:p>
        </w:tc>
      </w:tr>
      <w:tr>
        <w:tc>
          <w:tcPr>
            <w:tcW w:type="dxa" w:w="3360"/>
          </w:tcPr>
          <w:p>
            <w:r>
              <w:rPr>
                <w:b/>
              </w:rPr>
              <w:t>SQL Server T-SQL Procedures &amp; Views</w:t>
            </w:r>
          </w:p>
        </w:tc>
        <w:tc>
          <w:tcPr>
            <w:tcW w:type="dxa" w:w="3360"/>
          </w:tcPr>
          <w:p>
            <w:r>
              <w:t>[Insert Count, e.g., 500 T-SQL objects]</w:t>
            </w:r>
          </w:p>
        </w:tc>
        <w:tc>
          <w:tcPr>
            <w:tcW w:type="dxa" w:w="3360"/>
          </w:tcPr>
          <w:p>
            <w:r>
              <w:t>100% functional parity &amp; optimization</w:t>
            </w:r>
          </w:p>
        </w:tc>
      </w:tr>
      <w:tr>
        <w:tc>
          <w:tcPr>
            <w:tcW w:type="dxa" w:w="3360"/>
          </w:tcPr>
          <w:p>
            <w:r>
              <w:rPr>
                <w:b/>
              </w:rPr>
              <w:t>SSIS (.dtsx) Packages &amp; SSRS (.rdl) Reports</w:t>
            </w:r>
          </w:p>
        </w:tc>
        <w:tc>
          <w:tcPr>
            <w:tcW w:type="dxa" w:w="3360"/>
          </w:tcPr>
          <w:p>
            <w:r>
              <w:t>[Insert Count, e.g., 180 ETL/Reports]</w:t>
            </w:r>
          </w:p>
        </w:tc>
        <w:tc>
          <w:tcPr>
            <w:tcW w:type="dxa" w:w="3360"/>
          </w:tcPr>
          <w:p>
            <w:r>
              <w:t>Automated AST &amp; schema uplift</w:t>
            </w:r>
          </w:p>
        </w:tc>
      </w:tr>
      <w:tr>
        <w:tc>
          <w:tcPr>
            <w:tcW w:type="dxa" w:w="3360"/>
          </w:tcPr>
          <w:p>
            <w:r>
              <w:rPr>
                <w:b/>
              </w:rPr>
              <w:t>SSRS Report Query Fan-Out Rationalization (Core SQL Views + Runtime APEX Filters)</w:t>
            </w:r>
          </w:p>
        </w:tc>
        <w:tc>
          <w:tcPr>
            <w:tcW w:type="dxa" w:w="3360"/>
          </w:tcPr>
          <w:p>
            <w:r>
              <w:t>[Insert Count, e.g., 78 % fan-out reduction]</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8C4A32"/>
        </w:rPr>
        <w:t>Section 3: Mandatory Technical Scope of Work &amp; Conversion Matrix</w:t>
      </w:r>
    </w:p>
    <w:p>
      <w:pPr>
        <w:pStyle w:val="ListNumber"/>
      </w:pPr>
      <w:r>
        <w:rPr>
          <w:b/>
        </w:rPr>
        <w:t xml:space="preserve">[REQ-ARCH-01] </w:t>
      </w:r>
      <w:r>
        <w:t>Two Proven Target Lanes Based on Application Coupling: Lane 1 (Full Replatform to Oracle 23ai + APEX) converts custom SQL Server databases, T-SQL procedures, and SSRS reports into Oracle Autonomous Database 23ai and Oracle APEX. Lane 2 (SQL Server Consolidation on OCI / OCVS) consolidates third-party COTS SQL Server databases onto OCI DenseIO NVMe / Block Volume Ultra High Performance with Microsoft license mobility or BYOL.</w:t>
      </w:r>
    </w:p>
    <w:p>
      <w:pPr>
        <w:pStyle w:val="ListNumber"/>
      </w:pPr>
      <w:r>
        <w:rPr>
          <w:b/>
        </w:rPr>
        <w:t xml:space="preserve">[REQ-ARCH-02] </w:t>
      </w:r>
      <w:r>
        <w:t>Automated T-SQL, SSIS (`.dtsx`), and SSRS (`.rdl`) Conversion: Our XML parser extracts SQL queries and transformations from `.dtsx` and `.rdl` files, converting SSIS dataflows into OCI Data Integration / PL/SQL pipelines and SSRS reports into APEX Interactive Reports and AOP.</w:t>
      </w:r>
    </w:p>
    <w:p>
      <w:pPr>
        <w:pStyle w:val="ListNumber"/>
      </w:pPr>
      <w:r>
        <w:rPr>
          <w:b/>
        </w:rPr>
        <w:t xml:space="preserve">[REQ-ARCH-03] </w:t>
      </w:r>
      <w:r>
        <w:t>Oracle Database@Azure &amp; OCI-Azure Interconnect: For hybrid estates where .NET apps remain in Azure, we deploy over the sub-2ms private OCI-Azure Interconnect or Oracle Database@Azure with zero cross-cloud egress fees.</w:t>
      </w:r>
    </w:p>
    <w:p>
      <w:pPr>
        <w:pStyle w:val="ListNumber"/>
      </w:pPr>
      <w:r>
        <w:rPr>
          <w:b/>
        </w:rPr>
        <w:t xml:space="preserve">[REQ-ARCH-04] </w:t>
      </w:r>
      <w:r>
        <w:t>Query Fan-Out Rationalization &amp; Runtime/Inference Filtering: Instead of migrating cloned reports and DataWindows 1-for-1, our AST SQL parser clusters queries by their canonical core JOIN graph, builds governed Oracle 23ai views only for those core queries, and generates dynamic WHERE clauses, faceted filters, and ad-hoc report variations at runtime and via AI inference (APEX 24.2 Smart Filters &amp; Select AI).</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B2927"/>
          </w:tcPr>
          <w:p>
            <w:r>
              <w:rPr>
                <w:b/>
                <w:color w:val="FFFFFF"/>
                <w:sz w:val="19"/>
              </w:rPr>
              <w:t>Req ID</w:t>
            </w:r>
          </w:p>
        </w:tc>
        <w:tc>
          <w:tcPr>
            <w:tcW w:type="dxa" w:w="2520"/>
            <w:shd w:val="clear" w:color="auto" w:fill="2B2927"/>
          </w:tcPr>
          <w:p>
            <w:r>
              <w:rPr>
                <w:b/>
                <w:color w:val="FFFFFF"/>
                <w:sz w:val="19"/>
              </w:rPr>
              <w:t>Legacy Artifact / Baseline Workload</w:t>
            </w:r>
          </w:p>
        </w:tc>
        <w:tc>
          <w:tcPr>
            <w:tcW w:type="dxa" w:w="2520"/>
            <w:shd w:val="clear" w:color="auto" w:fill="2B2927"/>
          </w:tcPr>
          <w:p>
            <w:r>
              <w:rPr>
                <w:b/>
                <w:color w:val="FFFFFF"/>
                <w:sz w:val="19"/>
              </w:rPr>
              <w:t>Required Target Architecture</w:t>
            </w:r>
          </w:p>
        </w:tc>
        <w:tc>
          <w:tcPr>
            <w:tcW w:type="dxa" w:w="2520"/>
            <w:shd w:val="clear" w:color="auto" w:fill="2B2927"/>
          </w:tcPr>
          <w:p>
            <w:r>
              <w:rPr>
                <w:b/>
                <w:color w:val="FFFFFF"/>
                <w:sz w:val="19"/>
              </w:rPr>
              <w:t>Engineering Method &amp; Acceptance Gate</w:t>
            </w:r>
          </w:p>
        </w:tc>
      </w:tr>
      <w:tr>
        <w:tc>
          <w:tcPr>
            <w:tcW w:type="dxa" w:w="2520"/>
          </w:tcPr>
          <w:p>
            <w:r>
              <w:rPr>
                <w:b/>
              </w:rPr>
              <w:t>REQ-01</w:t>
            </w:r>
          </w:p>
        </w:tc>
        <w:tc>
          <w:tcPr>
            <w:tcW w:type="dxa" w:w="2520"/>
          </w:tcPr>
          <w:p>
            <w:r>
              <w:t>SQL Server Databases &amp; Schemas (`dbo.*`)</w:t>
            </w:r>
          </w:p>
        </w:tc>
        <w:tc>
          <w:tcPr>
            <w:tcW w:type="dxa" w:w="2520"/>
          </w:tcPr>
          <w:p>
            <w:r>
              <w:t>Oracle 23ai Pluggable Databases (PDBs) / Autonomous DB</w:t>
            </w:r>
          </w:p>
        </w:tc>
        <w:tc>
          <w:tcPr>
            <w:tcW w:type="dxa" w:w="2520"/>
          </w:tcPr>
          <w:p>
            <w:r>
              <w:t>SQLcl / GoldenGate Schema &amp; Data Migration</w:t>
            </w:r>
          </w:p>
        </w:tc>
      </w:tr>
      <w:tr>
        <w:tc>
          <w:tcPr>
            <w:tcW w:type="dxa" w:w="2520"/>
          </w:tcPr>
          <w:p>
            <w:r>
              <w:rPr>
                <w:b/>
              </w:rPr>
              <w:t>REQ-02</w:t>
            </w:r>
          </w:p>
        </w:tc>
        <w:tc>
          <w:tcPr>
            <w:tcW w:type="dxa" w:w="2520"/>
          </w:tcPr>
          <w:p>
            <w:r>
              <w:t>T-SQL Stored Procedures, Views &amp; Functions</w:t>
            </w:r>
          </w:p>
        </w:tc>
        <w:tc>
          <w:tcPr>
            <w:tcW w:type="dxa" w:w="2520"/>
          </w:tcPr>
          <w:p>
            <w:r>
              <w:t>Oracle 23ai PL/SQL Packages &amp; SQL Macros</w:t>
            </w:r>
          </w:p>
        </w:tc>
        <w:tc>
          <w:tcPr>
            <w:tcW w:type="dxa" w:w="2520"/>
          </w:tcPr>
          <w:p>
            <w:r>
              <w:t>AST Transpilation (with native 23ai Boolean &amp; IF EXISTS)</w:t>
            </w:r>
          </w:p>
        </w:tc>
      </w:tr>
      <w:tr>
        <w:tc>
          <w:tcPr>
            <w:tcW w:type="dxa" w:w="2520"/>
          </w:tcPr>
          <w:p>
            <w:r>
              <w:rPr>
                <w:b/>
              </w:rPr>
              <w:t>REQ-03</w:t>
            </w:r>
          </w:p>
        </w:tc>
        <w:tc>
          <w:tcPr>
            <w:tcW w:type="dxa" w:w="2520"/>
          </w:tcPr>
          <w:p>
            <w:r>
              <w:t>SSIS Packages (`.dtsx`) &amp; SQL Agent Jobs</w:t>
            </w:r>
          </w:p>
        </w:tc>
        <w:tc>
          <w:tcPr>
            <w:tcW w:type="dxa" w:w="2520"/>
          </w:tcPr>
          <w:p>
            <w:r>
              <w:t>OCI Data Integration / `DBMS_SCHEDULER` &amp; PL/SQL</w:t>
            </w:r>
          </w:p>
        </w:tc>
        <w:tc>
          <w:tcPr>
            <w:tcW w:type="dxa" w:w="2520"/>
          </w:tcPr>
          <w:p>
            <w:r>
              <w:t>XML Dataflow Extraction &amp; Serverless Orchestration</w:t>
            </w:r>
          </w:p>
        </w:tc>
      </w:tr>
      <w:tr>
        <w:tc>
          <w:tcPr>
            <w:tcW w:type="dxa" w:w="2520"/>
          </w:tcPr>
          <w:p>
            <w:r>
              <w:rPr>
                <w:b/>
              </w:rPr>
              <w:t>REQ-04</w:t>
            </w:r>
          </w:p>
        </w:tc>
        <w:tc>
          <w:tcPr>
            <w:tcW w:type="dxa" w:w="2520"/>
          </w:tcPr>
          <w:p>
            <w:r>
              <w:t>SSRS Reports (`.rdl` Paginated &amp; Tabular)</w:t>
            </w:r>
          </w:p>
        </w:tc>
        <w:tc>
          <w:tcPr>
            <w:tcW w:type="dxa" w:w="2520"/>
          </w:tcPr>
          <w:p>
            <w:r>
              <w:t>Oracle APEX 24.2 Reports + APEX Office Print / OAC</w:t>
            </w:r>
          </w:p>
        </w:tc>
        <w:tc>
          <w:tcPr>
            <w:tcW w:type="dxa" w:w="2520"/>
          </w:tcPr>
          <w:p>
            <w:r>
              <w:t>RDL Query Harvester &amp; Template Rebinding</w:t>
            </w:r>
          </w:p>
        </w:tc>
      </w:tr>
      <w:tr>
        <w:tc>
          <w:tcPr>
            <w:tcW w:type="dxa" w:w="2520"/>
          </w:tcPr>
          <w:p>
            <w:r>
              <w:rPr>
                <w:b/>
              </w:rPr>
              <w:t>REQ-05</w:t>
            </w:r>
          </w:p>
        </w:tc>
        <w:tc>
          <w:tcPr>
            <w:tcW w:type="dxa" w:w="2520"/>
          </w:tcPr>
          <w:p>
            <w:r>
              <w:t>SQL Server Linked Servers (`OPENQUERY`)</w:t>
            </w:r>
          </w:p>
        </w:tc>
        <w:tc>
          <w:tcPr>
            <w:tcW w:type="dxa" w:w="2520"/>
          </w:tcPr>
          <w:p>
            <w:r>
              <w:t>Oracle Database Links / ORDS REST Data Sources</w:t>
            </w:r>
          </w:p>
        </w:tc>
        <w:tc>
          <w:tcPr>
            <w:tcW w:type="dxa" w:w="2520"/>
          </w:tcPr>
          <w:p>
            <w:r>
              <w:t>Federated Query Optimization</w:t>
            </w:r>
          </w:p>
        </w:tc>
      </w:tr>
      <w:tr>
        <w:tc>
          <w:tcPr>
            <w:tcW w:type="dxa" w:w="2520"/>
          </w:tcPr>
          <w:p>
            <w:r>
              <w:rPr>
                <w:b/>
              </w:rPr>
              <w:t>REQ-06</w:t>
            </w:r>
          </w:p>
        </w:tc>
        <w:tc>
          <w:tcPr>
            <w:tcW w:type="dxa" w:w="2520"/>
          </w:tcPr>
          <w:p>
            <w:r>
              <w:t>Cloned Reports / Queries Differing Only by WHERE Clause or Group-By (Query Fan-Out)</w:t>
            </w:r>
          </w:p>
        </w:tc>
        <w:tc>
          <w:tcPr>
            <w:tcW w:type="dxa" w:w="2520"/>
          </w:tcPr>
          <w:p>
            <w:r>
              <w:t>Canonical Core SQL View + APEX 24.2 Runtime / AI Inference Filters</w:t>
            </w:r>
          </w:p>
        </w:tc>
        <w:tc>
          <w:tcPr>
            <w:tcW w:type="dxa" w:w="2520"/>
          </w:tcPr>
          <w:p>
            <w:r>
              <w:t>AST Join-Graph Clustering (75-90% Report Count Reduction)</w:t>
            </w:r>
          </w:p>
        </w:tc>
      </w:tr>
    </w:tbl>
    <w:p>
      <w:pPr>
        <w:pStyle w:val="Heading2"/>
      </w:pPr>
      <w:r>
        <w:rPr>
          <w:color w:val="8C4A32"/>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How do Oracle 23ai new features simplify migrating from SQL Server?   [Evaluator Score: ___ / 10]</w:t>
      </w:r>
    </w:p>
    <w:p>
      <w:pPr>
        <w:pStyle w:val="ListBullet"/>
      </w:pPr>
      <w:r>
        <w:rPr>
          <w:b/>
        </w:rPr>
        <w:t xml:space="preserve">Reference Evaluation Benchmark: </w:t>
      </w:r>
      <w:r>
        <w:t>Oracle Database 23ai introduced native SQL `BOOLEAN` data types, `SELECT` without `FROM DUAL`, `CREATE TABLE IF NOT EXISTS`, multi-row `VALUES` constructors, `UPDATE/DELETE` with direct `FROM` joins, and `DBMS_SQL.RETURN_RESULT`, removing 90% of historical T-SQL-to-Oracle friction.</w:t>
      </w:r>
    </w:p>
    <w:p>
      <w:pPr>
        <w:pStyle w:val="ListBullet"/>
      </w:pPr>
      <w:r>
        <w:rPr>
          <w:b/>
        </w:rPr>
        <w:t xml:space="preserve">Vendor Written Response: </w:t>
      </w:r>
      <w:r>
        <w:t>[Bidder to insert concrete technical architecture and verifiable production proof here]</w:t>
      </w:r>
    </w:p>
    <w:p>
      <w:r>
        <w:rPr>
          <w:b/>
        </w:rPr>
        <w:t>Vendor Question 2: What if a third-party vendor application only supports Microsoft SQL Server?   [Evaluator Score: ___ / 10]</w:t>
      </w:r>
    </w:p>
    <w:p>
      <w:pPr>
        <w:pStyle w:val="ListBullet"/>
      </w:pPr>
      <w:r>
        <w:rPr>
          <w:b/>
        </w:rPr>
        <w:t xml:space="preserve">Reference Evaluation Benchmark: </w:t>
      </w:r>
      <w:r>
        <w:t>We host and consolidate those COTS SQL Server instances on OCI Compute with Flexible OCPU shapes and high-IOPS Block Volumes (or via OCI-Azure Interconnect), typically cutting infrastructure and storage costs by 40%+ compared to AWS/Azure.</w:t>
      </w:r>
    </w:p>
    <w:p>
      <w:pPr>
        <w:pStyle w:val="ListBullet"/>
      </w:pPr>
      <w:r>
        <w:rPr>
          <w:b/>
        </w:rPr>
        <w:t xml:space="preserve">Vendor Written Response: </w:t>
      </w:r>
      <w:r>
        <w:t>[Bidder to insert concrete technical architecture and verifiable production proof here]</w:t>
      </w:r>
    </w:p>
    <w:p>
      <w:r>
        <w:rPr>
          <w:b/>
        </w:rPr>
        <w:t>Vendor Question 3: What is included in the downloadable PDF Solution Brief?   [Evaluator Score: ___ / 10]</w:t>
      </w:r>
    </w:p>
    <w:p>
      <w:pPr>
        <w:pStyle w:val="ListBullet"/>
      </w:pPr>
      <w:r>
        <w:rPr>
          <w:b/>
        </w:rPr>
        <w:t xml:space="preserve">Reference Evaluation Benchmark: </w:t>
      </w:r>
      <w:r>
        <w:t>The PDF Solution Brief includes the SQL Server-to-Oracle 23ai feature parity guide, our SSIS/SSRS XML extraction workflow, and a 4-cloud SQL Server hosting cost comparison.</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8C4A32"/>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B2927"/>
          </w:tcPr>
          <w:p>
            <w:r>
              <w:rPr>
                <w:b/>
                <w:color w:val="FFFFFF"/>
                <w:sz w:val="19"/>
              </w:rPr>
              <w:t>Milestone / Phase</w:t>
            </w:r>
          </w:p>
        </w:tc>
        <w:tc>
          <w:tcPr>
            <w:tcW w:type="dxa" w:w="2520"/>
            <w:shd w:val="clear" w:color="auto" w:fill="2B2927"/>
          </w:tcPr>
          <w:p>
            <w:r>
              <w:rPr>
                <w:b/>
                <w:color w:val="FFFFFF"/>
                <w:sz w:val="19"/>
              </w:rPr>
              <w:t>Deliverable &amp; Acceptance Gate</w:t>
            </w:r>
          </w:p>
        </w:tc>
        <w:tc>
          <w:tcPr>
            <w:tcW w:type="dxa" w:w="2520"/>
            <w:shd w:val="clear" w:color="auto" w:fill="2B2927"/>
          </w:tcPr>
          <w:p>
            <w:r>
              <w:rPr>
                <w:b/>
                <w:color w:val="FFFFFF"/>
                <w:sz w:val="19"/>
              </w:rPr>
              <w:t>Fixed Fee (USD)</w:t>
            </w:r>
          </w:p>
        </w:tc>
        <w:tc>
          <w:tcPr>
            <w:tcW w:type="dxa" w:w="2520"/>
            <w:shd w:val="clear" w:color="auto" w:fill="2B2927"/>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(VNA-RFP-011)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VNA-RFP-011  |  https://sql-server-to-oracle-oci.web.app/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